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rFonts w:ascii="TH SarabunPSK" w:cs="TH SarabunPSK" w:eastAsia="TH SarabunPSK" w:hAnsi="TH SarabunPSK"/>
          <w:b/>
          <w:bCs/>
          <w:sz w:val="40"/>
          <w:szCs w:val="40"/>
        </w:rPr>
        <w:t xml:space="preserve">ประวัติบุคลากรในโครงการ</w:t>
      </w:r>
    </w:p>
    <w:p>
      <w:pPr>
        <w:tabs>
          <w:tab w:val="left" w:pos="2551"/>
        </w:tabs>
        <w:spacing w:after="40"/>
      </w:pPr>
      <w:r>
        <w:rPr>
          <w:rFonts w:ascii="TH SarabunPSK" w:cs="TH SarabunPSK" w:eastAsia="TH SarabunPSK" w:hAnsi="TH SarabunPSK"/>
          <w:b/>
          <w:bCs/>
          <w:sz w:val="32"/>
          <w:szCs w:val="32"/>
        </w:rPr>
        <w:t xml:space="preserve">1. ชื่อ-สกุล	</w:t>
      </w:r>
      <w:r>
        <w:rPr>
          <w:rFonts w:ascii="TH SarabunPSK" w:cs="TH SarabunPSK" w:eastAsia="TH SarabunPSK" w:hAnsi="TH SarabunPSK"/>
          <w:sz w:val="32"/>
          <w:szCs w:val="32"/>
        </w:rPr>
        <w:t xml:space="preserve">อาจารย์นริศ กำแพงแก้ว    Lect.Naris Khampangkaew</w:t>
      </w:r>
    </w:p>
    <w:p>
      <w:pPr>
        <w:tabs>
          <w:tab w:val="left" w:pos="2551"/>
        </w:tabs>
        <w:spacing w:after="40"/>
      </w:pPr>
      <w:r>
        <w:rPr>
          <w:rFonts w:ascii="TH SarabunPSK" w:cs="TH SarabunPSK" w:eastAsia="TH SarabunPSK" w:hAnsi="TH SarabunPSK"/>
          <w:b/>
          <w:bCs/>
          <w:sz w:val="32"/>
          <w:szCs w:val="32"/>
        </w:rPr>
        <w:t xml:space="preserve">3. หน่วยงานต้นสังกัด	</w:t>
      </w:r>
      <w:r>
        <w:rPr>
          <w:rFonts w:ascii="TH SarabunPSK" w:cs="TH SarabunPSK" w:eastAsia="TH SarabunPSK" w:hAnsi="TH SarabunPSK"/>
          <w:sz w:val="32"/>
          <w:szCs w:val="32"/>
        </w:rPr>
        <w:t xml:space="preserve">สาขาวิชาวิศวกรรมไฟฟ้า คณะวิศวกรรมศาสตร์</w:t>
      </w:r>
    </w:p>
    <w:p>
      <w:pPr>
        <w:tabs>
          <w:tab w:val="left" w:pos="2551"/>
        </w:tabs>
        <w:spacing w:after="40"/>
      </w:pPr>
      <w:r>
        <w:rPr>
          <w:rFonts w:ascii="TH SarabunPSK" w:cs="TH SarabunPSK" w:eastAsia="TH SarabunPSK" w:hAnsi="TH SarabunPSK"/>
          <w:sz w:val="32"/>
          <w:szCs w:val="32"/>
        </w:rPr>
        <w:t xml:space="preserve">	ศูนย์วิจัยระบบพลังงานสะอาด</w:t>
      </w:r>
    </w:p>
    <w:p>
      <w:pPr>
        <w:tabs>
          <w:tab w:val="left" w:pos="2551"/>
        </w:tabs>
        <w:spacing w:after="40"/>
      </w:pPr>
      <w:r>
        <w:rPr>
          <w:rFonts w:ascii="TH SarabunPSK" w:cs="TH SarabunPSK" w:eastAsia="TH SarabunPSK" w:hAnsi="TH SarabunPSK"/>
          <w:sz w:val="32"/>
          <w:szCs w:val="32"/>
        </w:rPr>
        <w:t xml:space="preserve">	มหาวิทยาลัยเทคโนโลยีราชมงคลล้านนา</w:t>
      </w:r>
    </w:p>
    <w:p>
      <w:pPr>
        <w:tabs>
          <w:tab w:val="left" w:pos="2551"/>
        </w:tabs>
        <w:spacing w:after="40"/>
      </w:pPr>
      <w:r>
        <w:rPr>
          <w:rFonts w:ascii="TH SarabunPSK" w:cs="TH SarabunPSK" w:eastAsia="TH SarabunPSK" w:hAnsi="TH SarabunPSK"/>
          <w:b/>
          <w:bCs/>
          <w:sz w:val="32"/>
          <w:szCs w:val="32"/>
        </w:rPr>
        <w:t xml:space="preserve">E-mail	</w:t>
      </w:r>
      <w:r>
        <w:rPr>
          <w:rFonts w:ascii="TH SarabunPSK" w:cs="TH SarabunPSK" w:eastAsia="TH SarabunPSK" w:hAnsi="TH SarabunPSK"/>
          <w:sz w:val="32"/>
          <w:szCs w:val="32"/>
        </w:rPr>
        <w:t xml:space="preserve">naris@rmutl.ac.th</w:t>
      </w:r>
    </w:p>
    <w:p>
      <w:pPr>
        <w:spacing w:after="100" w:before="200"/>
      </w:pPr>
      <w:r>
        <w:rPr>
          <w:rFonts w:ascii="TH SarabunPSK" w:cs="TH SarabunPSK" w:eastAsia="TH SarabunPSK" w:hAnsi="TH SarabunPSK"/>
          <w:b/>
          <w:bCs/>
          <w:sz w:val="36"/>
          <w:szCs w:val="36"/>
        </w:rPr>
        <w:t xml:space="preserve">4. สาขาวิชาที่มีความชำนาญพิเศษ</w:t>
      </w:r>
    </w:p>
    <w:p>
      <w:pPr>
        <w:spacing w:after="20"/>
        <w:ind w:left="850"/>
      </w:pPr>
      <w:r>
        <w:rPr>
          <w:rFonts w:ascii="TH SarabunPSK" w:cs="TH SarabunPSK" w:eastAsia="TH SarabunPSK" w:hAnsi="TH SarabunPSK"/>
          <w:sz w:val="32"/>
          <w:szCs w:val="32"/>
        </w:rPr>
        <w:t xml:space="preserve">1) Electrical Engineering</w:t>
      </w:r>
    </w:p>
    <w:p>
      <w:pPr>
        <w:spacing w:after="100" w:before="200"/>
      </w:pPr>
      <w:r>
        <w:rPr>
          <w:rFonts w:ascii="TH SarabunPSK" w:cs="TH SarabunPSK" w:eastAsia="TH SarabunPSK" w:hAnsi="TH SarabunPSK"/>
          <w:b/>
          <w:bCs/>
          <w:sz w:val="36"/>
          <w:szCs w:val="36"/>
        </w:rPr>
        <w:t xml:space="preserve">5. งานวิจัย</w:t>
      </w:r>
    </w:p>
    <w:p>
      <w:pPr>
        <w:spacing w:after="50" w:before="100"/>
        <w:ind w:left="283"/>
      </w:pPr>
      <w:r>
        <w:rPr>
          <w:rFonts w:ascii="TH SarabunPSK" w:cs="TH SarabunPSK" w:eastAsia="TH SarabunPSK" w:hAnsi="TH SarabunPSK"/>
          <w:b/>
          <w:bCs/>
          <w:sz w:val="32"/>
          <w:szCs w:val="32"/>
        </w:rPr>
        <w:t xml:space="preserve">ด้าน Journal (วารสารวิชาการ)</w:t>
      </w:r>
    </w:p>
    <w:p>
      <w:pPr>
        <w:spacing w:after="60"/>
        <w:ind w:left="566" w:hanging="453"/>
      </w:pPr>
      <w:r>
        <w:rPr>
          <w:rFonts w:ascii="TH SarabunPSK" w:cs="TH SarabunPSK" w:eastAsia="TH SarabunPSK" w:hAnsi="TH SarabunPSK"/>
          <w:sz w:val="32"/>
          <w:szCs w:val="32"/>
        </w:rPr>
        <w:t xml:space="preserve">1. P. Wiratsiri, J. Thongpron, W. Muangjai, N. Panlawan, N. Khampangkaew, K. Nakaiam, A. Namin, and T. Somsak, "Albedo Elasticity and Critical Tilt Angle for Bifacial Photovoltaics: A Reduced-Order Analytical Framework Benchmarked Across Four Latitude Zones", IEEE Access, 1-1, 2026</w:t>
      </w:r>
    </w:p>
    <w:p>
      <w:pPr>
        <w:spacing w:after="60"/>
        <w:ind w:left="566" w:hanging="453"/>
      </w:pPr>
      <w:r>
        <w:rPr>
          <w:rFonts w:ascii="TH SarabunPSK" w:cs="TH SarabunPSK" w:eastAsia="TH SarabunPSK" w:hAnsi="TH SarabunPSK"/>
          <w:sz w:val="32"/>
          <w:szCs w:val="32"/>
        </w:rPr>
        <w:t xml:space="preserve">2. มนตรี เงาเดช, Jutturit Thongpron, Anon Namin, Nopporn Patcharaprakiti, Worrajak Muangjai, Naris Khampangkaew, Nattawat Panlawan, Teerasak Somsak, "Life Cycle Exergy and Economic Criteria of the Renewable Hybrid Microgrid System for Rural Electrification in Khlong Ruea, Thailand", 2025</w:t>
      </w:r>
    </w:p>
    <w:p>
      <w:pPr>
        <w:spacing w:after="60"/>
        <w:ind w:left="566" w:hanging="453"/>
      </w:pPr>
      <w:r>
        <w:rPr>
          <w:rFonts w:ascii="TH SarabunPSK" w:cs="TH SarabunPSK" w:eastAsia="TH SarabunPSK" w:hAnsi="TH SarabunPSK"/>
          <w:sz w:val="32"/>
          <w:szCs w:val="32"/>
        </w:rPr>
        <w:t xml:space="preserve">3. M. Ngao-det, T. Somsak, J. Thongpron, A. Namin, N. Patcharaprakiti, N. Khampangkaew, K. Srasuay, N. Panlawan, K. Nakaiam, S. Tunyasrirut, and W. Muangjai, "Field-Validated Two-Layer Dispatch Framework for a Rural Hybrid Microgrid with Power Quality and Environmental Assessment", Energies, Vol. 19(12), 2791, 2026 [Scopus, WoS]</w:t>
      </w:r>
    </w:p>
    <w:p>
      <w:pPr>
        <w:spacing w:after="60"/>
        <w:ind w:left="566" w:hanging="453"/>
      </w:pPr>
      <w:r>
        <w:rPr>
          <w:rFonts w:ascii="TH SarabunPSK" w:cs="TH SarabunPSK" w:eastAsia="TH SarabunPSK" w:hAnsi="TH SarabunPSK"/>
          <w:sz w:val="32"/>
          <w:szCs w:val="32"/>
        </w:rPr>
        <w:t xml:space="preserve">4. K. Srasuay, N. Patcharaprakiti, J. Thongpron, A. Namin, M. Ngao-det, N. Khampangkaew, N. Panlawan, K. Nakaiam, W. Muangjai, and T. Somsak, "Sustainable Institutional Shuttle Fleet Electrification: Techno-Economic and Carbon-Payback Assessment of Distributed PV–BESS Charging Sized via Closed-Form KKT Active-Constraint Analysis", Sustainability, Vol. 18(12), 5951, 2026 [Scopus, WoS]</w:t>
      </w:r>
    </w:p>
    <w:p>
      <w:pPr>
        <w:spacing w:after="60"/>
        <w:ind w:left="566" w:hanging="453"/>
      </w:pPr>
      <w:r>
        <w:rPr>
          <w:rFonts w:ascii="TH SarabunPSK" w:cs="TH SarabunPSK" w:eastAsia="TH SarabunPSK" w:hAnsi="TH SarabunPSK"/>
          <w:sz w:val="32"/>
          <w:szCs w:val="32"/>
        </w:rPr>
        <w:t xml:space="preserve">5. อนนท์ นำอิน, Teerasak Somsak, Jutturit Thongpron, Nopporn Patcharaprakiti, Worrajak Muangjai, Nattawat Panlawan, Naris Khampangkaew, "Study on Temperature Effects of Batteries Lithium Ion NCR18650GA Lifetime for Low Earth Orbit Satellites", 2024</w:t>
      </w:r>
    </w:p>
    <w:p>
      <w:pPr>
        <w:spacing w:after="50" w:before="100"/>
        <w:ind w:left="283"/>
      </w:pPr>
      <w:r>
        <w:rPr>
          <w:rFonts w:ascii="TH SarabunPSK" w:cs="TH SarabunPSK" w:eastAsia="TH SarabunPSK" w:hAnsi="TH SarabunPSK"/>
          <w:b/>
          <w:bCs/>
          <w:sz w:val="32"/>
          <w:szCs w:val="32"/>
        </w:rPr>
        <w:t xml:space="preserve">ด้าน Conference (การประชุมวิชาการ)</w:t>
      </w:r>
    </w:p>
    <w:p>
      <w:pPr>
        <w:spacing w:after="60"/>
        <w:ind w:left="566" w:hanging="453"/>
      </w:pPr>
      <w:r>
        <w:rPr>
          <w:rFonts w:ascii="TH SarabunPSK" w:cs="TH SarabunPSK" w:eastAsia="TH SarabunPSK" w:hAnsi="TH SarabunPSK"/>
          <w:sz w:val="32"/>
          <w:szCs w:val="32"/>
        </w:rPr>
        <w:t xml:space="preserve">6. T. Somsak, N. Sriyoaruean, M. Ngaodet, J. Thongpron, A. Namin, N. Patcharaprakiti, S. Yousawat, W. Muangjai, K. Nakaiam, N. Panlawan, N. Khampangkaew, and K. Srasuay, "Study on Temperature Effects of Batteries for LEO satellites", IEEE Green Technologies for Sustainable Development (GTSD 2024), 2024 [Scopus]</w:t>
      </w:r>
    </w:p>
    <w:p>
      <w:pPr>
        <w:spacing w:after="100" w:before="200"/>
      </w:pPr>
      <w:r>
        <w:rPr>
          <w:rFonts w:ascii="TH SarabunPSK" w:cs="TH SarabunPSK" w:eastAsia="TH SarabunPSK" w:hAnsi="TH SarabunPSK"/>
          <w:b/>
          <w:bCs/>
          <w:sz w:val="36"/>
          <w:szCs w:val="36"/>
        </w:rPr>
        <w:t xml:space="preserve">6. ทุนวิจัย</w:t>
      </w:r>
    </w:p>
    <w:p>
      <w:pPr>
        <w:spacing w:after="50"/>
      </w:pPr>
    </w:p>
    <w:p>
      <w:pPr>
        <w:spacing w:after="20"/>
        <w:ind w:left="283"/>
      </w:pPr>
      <w:r>
        <w:rPr>
          <w:rFonts w:ascii="TH SarabunPSK" w:cs="TH SarabunPSK" w:eastAsia="TH SarabunPSK" w:hAnsi="TH SarabunPSK"/>
          <w:b/>
          <w:bCs/>
          <w:sz w:val="32"/>
          <w:szCs w:val="32"/>
        </w:rPr>
        <w:t xml:space="preserve">1. </w:t>
      </w:r>
      <w:r>
        <w:rPr>
          <w:rFonts w:ascii="TH SarabunPSK" w:cs="TH SarabunPSK" w:eastAsia="TH SarabunPSK" w:hAnsi="TH SarabunPSK"/>
          <w:sz w:val="32"/>
          <w:szCs w:val="32"/>
        </w:rPr>
        <w:t xml:space="preserve">โครงการพัฒนากำลังคนทักษะฝีมือแรงงานสมรรถนะ สูงตามมาตรฐานวิชาชีพ สำหรับอุตสาหกรรมยานยนต์ไฟฟ้าที่เข้าถึงได้ สถานีอัดประจุแบบสองทิศทาง ด้วยพลังงานแสงอาทิตย์ และระบบควบคุมอัจฉริยะ ด้วยปัญญาประดิษฐ์ (พ.ศ. 2569)</w:t>
      </w:r>
    </w:p>
    <w:p>
      <w:pPr>
        <w:spacing w:after="80"/>
        <w:ind w:left="566"/>
      </w:pPr>
      <w:r>
        <w:rPr>
          <w:rFonts w:ascii="TH SarabunPSK" w:cs="TH SarabunPSK" w:eastAsia="TH SarabunPSK" w:hAnsi="TH SarabunPSK"/>
          <w:color w:val="444444"/>
          <w:sz w:val="28"/>
          <w:szCs w:val="28"/>
        </w:rPr>
        <w:t xml:space="preserve">   แหล่งทุน: บพค. | นักวิจัย งบประมาณ 1,500,000 บาท</w:t>
      </w:r>
    </w:p>
    <w:p>
      <w:pPr>
        <w:pBdr>
          <w:top w:val="single" w:color="999999" w:sz="1"/>
        </w:pBdr>
        <w:spacing w:after="100" w:before="400"/>
      </w:pPr>
    </w:p>
    <w:p>
      <w:r>
        <w:rPr>
          <w:rFonts w:ascii="TH SarabunPSK" w:cs="TH SarabunPSK" w:eastAsia="TH SarabunPSK" w:hAnsi="TH SarabunPSK"/>
          <w:i/>
          <w:iCs/>
          <w:color w:val="888888"/>
          <w:sz w:val="28"/>
          <w:szCs w:val="28"/>
        </w:rPr>
        <w:t xml:space="preserve">สร้างจากระบบฐานข้อมูลนักวิจัย CESRU | วันที่ 28 กันยายน 2569</w:t>
      </w:r>
    </w:p>
    <w:sectPr>
      <w:pgSz w:w="11906" w:h="16838" w:orient="portrait"/>
      <w:pgMar w:top="1417" w:right="1417" w:bottom="1417" w:left="141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2026-09-28T02:08:49.816Z</dcterms:created>
  <dcterms:modified xsi:type="dcterms:W3CDTF">2026-09-28T02:08:49.816Z</dcterms:modified>
</cp:coreProperties>
</file>

<file path=docProps/custom.xml><?xml version="1.0" encoding="utf-8"?>
<Properties xmlns="http://schemas.openxmlformats.org/officeDocument/2006/custom-properties" xmlns:vt="http://schemas.openxmlformats.org/officeDocument/2006/docPropsVTypes"/>
</file>