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ผศ.มนตรี เงาเดช    Asst.Prof.Montri Ngao-det</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montri@rmutl.ac.th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Power Quality</w:t>
      </w:r>
    </w:p>
    <w:p>
      <w:pPr>
        <w:spacing w:after="20"/>
        <w:ind w:left="850"/>
      </w:pPr>
      <w:r>
        <w:rPr>
          <w:rFonts w:ascii="TH SarabunPSK" w:cs="TH SarabunPSK" w:eastAsia="TH SarabunPSK" w:hAnsi="TH SarabunPSK"/>
          <w:sz w:val="32"/>
          <w:szCs w:val="32"/>
        </w:rPr>
        <w:t xml:space="preserve">2) Voltage Sag</w:t>
      </w:r>
    </w:p>
    <w:p>
      <w:pPr>
        <w:spacing w:after="20"/>
        <w:ind w:left="850"/>
      </w:pPr>
      <w:r>
        <w:rPr>
          <w:rFonts w:ascii="TH SarabunPSK" w:cs="TH SarabunPSK" w:eastAsia="TH SarabunPSK" w:hAnsi="TH SarabunPSK"/>
          <w:sz w:val="32"/>
          <w:szCs w:val="32"/>
        </w:rPr>
        <w:t xml:space="preserve">3) Microgrid Design</w:t>
      </w:r>
    </w:p>
    <w:p>
      <w:pPr>
        <w:spacing w:after="20"/>
        <w:ind w:left="850"/>
      </w:pPr>
      <w:r>
        <w:rPr>
          <w:rFonts w:ascii="TH SarabunPSK" w:cs="TH SarabunPSK" w:eastAsia="TH SarabunPSK" w:hAnsi="TH SarabunPSK"/>
          <w:sz w:val="32"/>
          <w:szCs w:val="32"/>
        </w:rPr>
        <w:t xml:space="preserve">4) Renewable Energy Systems</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มนตรี เงาเดช, Worrajak Muangjai, Teerasak Somsak, Kosol Oranpiroj, Jutturit Thongpron, "Analysis of the effect of charge and discharge LiFePO4 batteries using BMS with and without Active balancer", 2022 International Electrical Engineering Congress (iEECON), 2022</w:t>
      </w:r>
    </w:p>
    <w:p>
      <w:pPr>
        <w:spacing w:after="60"/>
        <w:ind w:left="566" w:hanging="453"/>
      </w:pPr>
      <w:r>
        <w:rPr>
          <w:rFonts w:ascii="TH SarabunPSK" w:cs="TH SarabunPSK" w:eastAsia="TH SarabunPSK" w:hAnsi="TH SarabunPSK"/>
          <w:sz w:val="32"/>
          <w:szCs w:val="32"/>
        </w:rPr>
        <w:t xml:space="preserve">2.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3. มนตรี เงาเดช, Worrajak Muangjai, "An Apply IoT for Collection and Analysis of Specific Energy Consumption in Production Line of Ready-to-Drink Juice at the Second Royal Factory Mae Chan", 2018</w:t>
      </w:r>
    </w:p>
    <w:p>
      <w:pPr>
        <w:spacing w:after="60"/>
        <w:ind w:left="566" w:hanging="453"/>
      </w:pPr>
      <w:r>
        <w:rPr>
          <w:rFonts w:ascii="TH SarabunPSK" w:cs="TH SarabunPSK" w:eastAsia="TH SarabunPSK" w:hAnsi="TH SarabunPSK"/>
          <w:sz w:val="32"/>
          <w:szCs w:val="32"/>
        </w:rPr>
        <w:t xml:space="preserve">4.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5.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6.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7.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8.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9.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10. K. Srasuay, J. Thongpron, A. Namin, K. Nakaiam, N. Panlawan, M. Ngaodet, W. Muangjai, T. Somsak, and N. Patcharaprakiti, "A techno-economic analysis of a 48 V mini shuttle with solar systems", Japanese Journal of Applied Physics, 2025 [Scopus]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11. K. Oranpiroj, S. Premrudeepreechacharn, M. Ngoudech, W. Muangjai, "The 3-phase 4-wire voltage sag generator based on three dimensions space vector modulation in abc coordinates", 2009 IEEE International Symposium on Industrial Electronics (ISIE), pp. 275-280, 2009 [Scopus, WoS]</w:t>
      </w:r>
    </w:p>
    <w:p>
      <w:pPr>
        <w:spacing w:after="60"/>
        <w:ind w:left="566" w:hanging="453"/>
      </w:pPr>
      <w:r>
        <w:rPr>
          <w:rFonts w:ascii="TH SarabunPSK" w:cs="TH SarabunPSK" w:eastAsia="TH SarabunPSK" w:hAnsi="TH SarabunPSK"/>
          <w:sz w:val="32"/>
          <w:szCs w:val="32"/>
        </w:rPr>
        <w:t xml:space="preserve">12.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13.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14.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15.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16.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17.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2026-09-28T03:02:17.395Z</dcterms:created>
  <dcterms:modified xsi:type="dcterms:W3CDTF">2026-09-28T03:02:17.395Z</dcterms:modified>
</cp:coreProperties>
</file>

<file path=docProps/custom.xml><?xml version="1.0" encoding="utf-8"?>
<Properties xmlns="http://schemas.openxmlformats.org/officeDocument/2006/custom-properties" xmlns:vt="http://schemas.openxmlformats.org/officeDocument/2006/docPropsVTypes"/>
</file>